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2AAD7" w14:textId="7BA7B32C" w:rsidR="00265EB5" w:rsidRPr="00633942" w:rsidRDefault="00633942" w:rsidP="00633942">
      <w:pPr>
        <w:snapToGrid w:val="0"/>
        <w:spacing w:line="560" w:lineRule="exact"/>
        <w:jc w:val="left"/>
        <w:rPr>
          <w:rFonts w:ascii="方正小标宋简体" w:eastAsia="方正小标宋简体" w:hAnsi="仿宋"/>
          <w:sz w:val="36"/>
          <w:szCs w:val="36"/>
        </w:rPr>
      </w:pPr>
      <w:r w:rsidRPr="00633942">
        <w:rPr>
          <w:rFonts w:ascii="方正小标宋简体" w:eastAsia="方正小标宋简体" w:hAnsi="仿宋" w:hint="eastAsia"/>
          <w:sz w:val="36"/>
          <w:szCs w:val="36"/>
        </w:rPr>
        <w:t>附件1</w:t>
      </w:r>
    </w:p>
    <w:p w14:paraId="6B9189C1" w14:textId="77777777" w:rsidR="00633942" w:rsidRDefault="00633942" w:rsidP="00C4309F">
      <w:pPr>
        <w:tabs>
          <w:tab w:val="left" w:pos="5034"/>
        </w:tabs>
        <w:rPr>
          <w:rFonts w:ascii="仿宋" w:eastAsia="仿宋" w:hAnsi="仿宋"/>
          <w:sz w:val="32"/>
          <w:szCs w:val="32"/>
        </w:rPr>
      </w:pPr>
    </w:p>
    <w:p w14:paraId="2F846C20" w14:textId="77777777" w:rsidR="00C4309F" w:rsidRPr="00265EB5" w:rsidRDefault="00C4309F" w:rsidP="00C4309F">
      <w:pPr>
        <w:snapToGrid w:val="0"/>
        <w:spacing w:line="560" w:lineRule="exact"/>
        <w:jc w:val="center"/>
        <w:rPr>
          <w:rFonts w:ascii="方正小标宋简体" w:eastAsia="方正小标宋简体" w:hAnsi="仿宋"/>
          <w:sz w:val="36"/>
          <w:szCs w:val="36"/>
        </w:rPr>
      </w:pPr>
      <w:r w:rsidRPr="00265EB5">
        <w:rPr>
          <w:rFonts w:ascii="方正小标宋简体" w:eastAsia="方正小标宋简体" w:hAnsi="仿宋" w:hint="eastAsia"/>
          <w:sz w:val="36"/>
          <w:szCs w:val="36"/>
        </w:rPr>
        <w:t>CFETS-SHCH-CBR科创CDS指数编制说明</w:t>
      </w:r>
    </w:p>
    <w:p w14:paraId="33D499C2" w14:textId="77777777" w:rsidR="00C4309F" w:rsidRPr="004D502B" w:rsidRDefault="00C4309F" w:rsidP="00C4309F">
      <w:pPr>
        <w:snapToGrid w:val="0"/>
        <w:spacing w:line="560" w:lineRule="exact"/>
        <w:jc w:val="center"/>
        <w:rPr>
          <w:rFonts w:ascii="仿宋" w:eastAsia="仿宋" w:hAnsi="仿宋" w:cs="Times New Roman"/>
          <w:sz w:val="44"/>
          <w:szCs w:val="44"/>
        </w:rPr>
      </w:pPr>
    </w:p>
    <w:p w14:paraId="7E1B86C8"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一、指数创建规则</w:t>
      </w:r>
    </w:p>
    <w:p w14:paraId="010EA8A9"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指数管理人依据以下标准，选取排名前</w:t>
      </w:r>
      <w:r w:rsidRPr="004D502B">
        <w:rPr>
          <w:rFonts w:ascii="仿宋" w:eastAsia="仿宋" w:hAnsi="仿宋" w:cs="Times New Roman" w:hint="eastAsia"/>
          <w:sz w:val="30"/>
          <w:szCs w:val="30"/>
        </w:rPr>
        <w:t>25</w:t>
      </w:r>
      <w:r w:rsidRPr="004D502B">
        <w:rPr>
          <w:rFonts w:ascii="仿宋" w:eastAsia="仿宋" w:hAnsi="仿宋" w:cs="Times New Roman"/>
          <w:sz w:val="30"/>
          <w:szCs w:val="30"/>
        </w:rPr>
        <w:t>的参考实体创建CDS指数，</w:t>
      </w:r>
      <w:r w:rsidRPr="004D502B">
        <w:rPr>
          <w:rFonts w:ascii="仿宋" w:eastAsia="仿宋" w:hAnsi="仿宋" w:cs="Times New Roman" w:hint="eastAsia"/>
          <w:sz w:val="30"/>
          <w:szCs w:val="30"/>
        </w:rPr>
        <w:t>25</w:t>
      </w:r>
      <w:r w:rsidRPr="004D502B">
        <w:rPr>
          <w:rFonts w:ascii="仿宋" w:eastAsia="仿宋" w:hAnsi="仿宋" w:cs="Times New Roman"/>
          <w:sz w:val="30"/>
          <w:szCs w:val="30"/>
        </w:rPr>
        <w:t>个参考实体等权重，权重为1/</w:t>
      </w:r>
      <w:r w:rsidRPr="004D502B">
        <w:rPr>
          <w:rFonts w:ascii="仿宋" w:eastAsia="仿宋" w:hAnsi="仿宋" w:cs="Times New Roman" w:hint="eastAsia"/>
          <w:sz w:val="30"/>
          <w:szCs w:val="30"/>
        </w:rPr>
        <w:t>25</w:t>
      </w:r>
      <w:r w:rsidRPr="004D502B">
        <w:rPr>
          <w:rFonts w:ascii="仿宋" w:eastAsia="仿宋" w:hAnsi="仿宋" w:cs="Times New Roman"/>
          <w:sz w:val="30"/>
          <w:szCs w:val="30"/>
        </w:rPr>
        <w:t>。指数创建筛选规则如下：</w:t>
      </w:r>
    </w:p>
    <w:p w14:paraId="2A691491"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（一）通用标准</w:t>
      </w:r>
    </w:p>
    <w:p w14:paraId="1C46C8DC"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1、参考实体为非主权、非金融企业</w:t>
      </w:r>
      <w:r w:rsidRPr="00D625A8">
        <w:rPr>
          <w:rFonts w:ascii="仿宋" w:eastAsia="仿宋" w:hAnsi="仿宋" w:cs="Times New Roman" w:hint="eastAsia"/>
          <w:bCs/>
          <w:sz w:val="30"/>
          <w:szCs w:val="30"/>
        </w:rPr>
        <w:t>科创票据或科技创新债券</w:t>
      </w:r>
      <w:r w:rsidRPr="00D625A8">
        <w:rPr>
          <w:rFonts w:ascii="仿宋" w:eastAsia="仿宋" w:hAnsi="仿宋" w:cs="Times New Roman"/>
          <w:bCs/>
          <w:sz w:val="30"/>
          <w:szCs w:val="30"/>
        </w:rPr>
        <w:t>发债主体</w:t>
      </w:r>
      <w:r w:rsidRPr="004D502B">
        <w:rPr>
          <w:rFonts w:ascii="仿宋" w:eastAsia="仿宋" w:hAnsi="仿宋" w:cs="Times New Roman"/>
          <w:sz w:val="30"/>
          <w:szCs w:val="30"/>
        </w:rPr>
        <w:t>;</w:t>
      </w:r>
    </w:p>
    <w:p w14:paraId="62945827"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2、参考实体在</w:t>
      </w:r>
      <w:r w:rsidRPr="004D502B">
        <w:rPr>
          <w:rFonts w:ascii="仿宋" w:eastAsia="仿宋" w:hAnsi="仿宋" w:cs="Times New Roman" w:hint="eastAsia"/>
          <w:sz w:val="30"/>
          <w:szCs w:val="30"/>
        </w:rPr>
        <w:t>中国银行间市场</w:t>
      </w:r>
      <w:r w:rsidRPr="004D502B">
        <w:rPr>
          <w:rFonts w:ascii="仿宋" w:eastAsia="仿宋" w:hAnsi="仿宋" w:cs="Times New Roman"/>
          <w:sz w:val="30"/>
          <w:szCs w:val="30"/>
        </w:rPr>
        <w:t>有公开存续</w:t>
      </w:r>
      <w:r w:rsidRPr="00D625A8">
        <w:rPr>
          <w:rFonts w:ascii="仿宋" w:eastAsia="仿宋" w:hAnsi="仿宋" w:cs="Times New Roman" w:hint="eastAsia"/>
          <w:bCs/>
          <w:sz w:val="30"/>
          <w:szCs w:val="30"/>
        </w:rPr>
        <w:t>科创票据或科技创新债券</w:t>
      </w:r>
      <w:r w:rsidRPr="004D502B">
        <w:rPr>
          <w:rFonts w:ascii="仿宋" w:eastAsia="仿宋" w:hAnsi="仿宋" w:cs="Times New Roman"/>
          <w:sz w:val="30"/>
          <w:szCs w:val="30"/>
        </w:rPr>
        <w:t>；</w:t>
      </w:r>
    </w:p>
    <w:p w14:paraId="7006C983"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highlight w:val="yellow"/>
        </w:rPr>
      </w:pPr>
      <w:r w:rsidRPr="004D502B">
        <w:rPr>
          <w:rFonts w:ascii="仿宋" w:eastAsia="仿宋" w:hAnsi="仿宋" w:cs="Times New Roman"/>
          <w:sz w:val="30"/>
          <w:szCs w:val="30"/>
        </w:rPr>
        <w:t>3、参考实体主体评级为中债资信A</w:t>
      </w:r>
      <w:r w:rsidRPr="004D502B">
        <w:rPr>
          <w:rFonts w:ascii="仿宋" w:eastAsia="仿宋" w:hAnsi="仿宋" w:cs="Times New Roman" w:hint="eastAsia"/>
          <w:sz w:val="30"/>
          <w:szCs w:val="30"/>
        </w:rPr>
        <w:t>+</w:t>
      </w:r>
      <w:r w:rsidRPr="004D502B">
        <w:rPr>
          <w:rFonts w:ascii="仿宋" w:eastAsia="仿宋" w:hAnsi="仿宋" w:cs="Times New Roman"/>
          <w:sz w:val="30"/>
          <w:szCs w:val="30"/>
        </w:rPr>
        <w:t>及以上信用等级；</w:t>
      </w:r>
    </w:p>
    <w:p w14:paraId="4F6D99FB"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4、参考实体具有公开财务报表；</w:t>
      </w:r>
    </w:p>
    <w:p w14:paraId="3AB90189"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5、参考实体不满足以下标准的任何一项;</w:t>
      </w:r>
    </w:p>
    <w:p w14:paraId="667CA5F5" w14:textId="77777777" w:rsidR="00C4309F" w:rsidRPr="004D502B" w:rsidRDefault="00C4309F" w:rsidP="00C4309F">
      <w:pPr>
        <w:snapToGrid w:val="0"/>
        <w:spacing w:line="560" w:lineRule="exact"/>
        <w:ind w:firstLineChars="220" w:firstLine="663"/>
        <w:rPr>
          <w:rFonts w:ascii="仿宋" w:eastAsia="仿宋" w:hAnsi="仿宋" w:cs="Times New Roman"/>
          <w:sz w:val="30"/>
          <w:szCs w:val="30"/>
        </w:rPr>
      </w:pPr>
      <w:r w:rsidRPr="004D502B">
        <w:rPr>
          <w:rFonts w:ascii="仿宋" w:eastAsia="仿宋" w:hAnsi="仿宋" w:cs="Times New Roman"/>
          <w:b/>
          <w:sz w:val="30"/>
          <w:szCs w:val="30"/>
        </w:rPr>
        <w:t>（1）公司事件：</w:t>
      </w:r>
      <w:r w:rsidRPr="004D502B">
        <w:rPr>
          <w:rFonts w:ascii="仿宋" w:eastAsia="仿宋" w:hAnsi="仿宋" w:cs="Times New Roman"/>
          <w:sz w:val="30"/>
          <w:szCs w:val="30"/>
        </w:rPr>
        <w:t>指数管理人依据公开信息，自行确定参考实体相关的公司事件已经发生或被宣布。其中，公司事件指兼并、收购或相似事件，公开信息包括但不限于公开提交信息、财务报表、由主要财经新闻发布或其他被承认的出版物或电子设备所发布的信息。</w:t>
      </w:r>
    </w:p>
    <w:p w14:paraId="56F782E4" w14:textId="77777777" w:rsidR="00C4309F" w:rsidRPr="004D502B" w:rsidRDefault="00C4309F" w:rsidP="00C4309F">
      <w:pPr>
        <w:snapToGrid w:val="0"/>
        <w:spacing w:line="560" w:lineRule="exact"/>
        <w:ind w:firstLineChars="220" w:firstLine="663"/>
        <w:rPr>
          <w:rFonts w:ascii="仿宋" w:eastAsia="仿宋" w:hAnsi="仿宋" w:cs="Times New Roman"/>
          <w:sz w:val="30"/>
          <w:szCs w:val="30"/>
        </w:rPr>
      </w:pPr>
      <w:r w:rsidRPr="004D502B">
        <w:rPr>
          <w:rFonts w:ascii="仿宋" w:eastAsia="仿宋" w:hAnsi="仿宋" w:cs="Times New Roman"/>
          <w:b/>
          <w:sz w:val="30"/>
          <w:szCs w:val="30"/>
        </w:rPr>
        <w:t>（2）信用事件：</w:t>
      </w:r>
      <w:r w:rsidRPr="004D502B">
        <w:rPr>
          <w:rFonts w:ascii="仿宋" w:eastAsia="仿宋" w:hAnsi="仿宋" w:cs="Times New Roman"/>
          <w:sz w:val="30"/>
          <w:szCs w:val="30"/>
        </w:rPr>
        <w:t>指数管理人根据公开信息判定参考实体已发生破产、支付违约等信用事件。</w:t>
      </w:r>
    </w:p>
    <w:p w14:paraId="70654B54"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（二）主体评分</w:t>
      </w:r>
    </w:p>
    <w:p w14:paraId="7907C1EF"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lastRenderedPageBreak/>
        <w:t>将上述参考实体分别按</w:t>
      </w:r>
      <w:r>
        <w:rPr>
          <w:rFonts w:ascii="仿宋" w:eastAsia="仿宋" w:hAnsi="仿宋" w:cs="Times New Roman" w:hint="eastAsia"/>
          <w:sz w:val="30"/>
          <w:szCs w:val="30"/>
        </w:rPr>
        <w:t>银行间</w:t>
      </w:r>
      <w:r w:rsidRPr="004D502B">
        <w:rPr>
          <w:rFonts w:ascii="仿宋" w:eastAsia="仿宋" w:hAnsi="仿宋" w:cs="Times New Roman"/>
          <w:sz w:val="30"/>
          <w:szCs w:val="30"/>
        </w:rPr>
        <w:t>市场公开</w:t>
      </w:r>
      <w:r>
        <w:rPr>
          <w:rFonts w:ascii="仿宋" w:eastAsia="仿宋" w:hAnsi="仿宋" w:cs="Times New Roman" w:hint="eastAsia"/>
          <w:sz w:val="30"/>
          <w:szCs w:val="30"/>
        </w:rPr>
        <w:t>发行</w:t>
      </w:r>
      <w:r w:rsidRPr="00D625A8">
        <w:rPr>
          <w:rFonts w:ascii="仿宋" w:eastAsia="仿宋" w:hAnsi="仿宋" w:cs="Times New Roman" w:hint="eastAsia"/>
          <w:bCs/>
          <w:sz w:val="30"/>
          <w:szCs w:val="30"/>
        </w:rPr>
        <w:t>科创票据或科技创新债券</w:t>
      </w:r>
      <w:r w:rsidRPr="004D502B">
        <w:rPr>
          <w:rFonts w:ascii="仿宋" w:eastAsia="仿宋" w:hAnsi="仿宋" w:cs="Times New Roman"/>
          <w:sz w:val="30"/>
          <w:szCs w:val="30"/>
        </w:rPr>
        <w:t>存续额</w:t>
      </w:r>
      <w:r w:rsidRPr="004D502B">
        <w:rPr>
          <w:rFonts w:ascii="仿宋" w:eastAsia="仿宋" w:hAnsi="仿宋" w:cs="Times New Roman" w:hint="eastAsia"/>
          <w:sz w:val="30"/>
          <w:szCs w:val="30"/>
        </w:rPr>
        <w:t>、参考实体</w:t>
      </w:r>
      <w:r>
        <w:rPr>
          <w:rFonts w:ascii="仿宋" w:eastAsia="仿宋" w:hAnsi="仿宋" w:cs="Times New Roman" w:hint="eastAsia"/>
          <w:sz w:val="30"/>
          <w:szCs w:val="30"/>
        </w:rPr>
        <w:t>银行间市场</w:t>
      </w:r>
      <w:r w:rsidRPr="004D502B">
        <w:rPr>
          <w:rFonts w:ascii="仿宋" w:eastAsia="仿宋" w:hAnsi="仿宋" w:cs="Times New Roman" w:hint="eastAsia"/>
          <w:sz w:val="30"/>
          <w:szCs w:val="30"/>
        </w:rPr>
        <w:t>近一年</w:t>
      </w:r>
      <w:r w:rsidRPr="00D625A8">
        <w:rPr>
          <w:rFonts w:ascii="仿宋" w:eastAsia="仿宋" w:hAnsi="仿宋" w:cs="Times New Roman" w:hint="eastAsia"/>
          <w:bCs/>
          <w:sz w:val="30"/>
          <w:szCs w:val="30"/>
        </w:rPr>
        <w:t>科创票据或科技创新债券</w:t>
      </w:r>
      <w:r w:rsidRPr="004D502B">
        <w:rPr>
          <w:rFonts w:ascii="仿宋" w:eastAsia="仿宋" w:hAnsi="仿宋" w:cs="Times New Roman" w:hint="eastAsia"/>
          <w:sz w:val="30"/>
          <w:szCs w:val="30"/>
        </w:rPr>
        <w:t>成交量</w:t>
      </w:r>
      <w:r w:rsidRPr="004D502B">
        <w:rPr>
          <w:rFonts w:ascii="仿宋" w:eastAsia="仿宋" w:hAnsi="仿宋" w:cs="Times New Roman"/>
          <w:sz w:val="30"/>
          <w:szCs w:val="30"/>
        </w:rPr>
        <w:t>、中债资信级别分别对应的打分规则进行打分，并将各指标得分结果赋予相应的权重加权平均。</w:t>
      </w:r>
    </w:p>
    <w:p w14:paraId="39A7E7BC"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w:t>
      </w:r>
      <w:r>
        <w:rPr>
          <w:rFonts w:ascii="仿宋" w:eastAsia="仿宋" w:hAnsi="仿宋" w:cs="Times New Roman" w:hint="eastAsia"/>
          <w:b/>
          <w:sz w:val="30"/>
          <w:szCs w:val="30"/>
        </w:rPr>
        <w:t>三</w:t>
      </w:r>
      <w:r w:rsidRPr="004D502B">
        <w:rPr>
          <w:rFonts w:ascii="仿宋" w:eastAsia="仿宋" w:hAnsi="仿宋" w:cs="Times New Roman"/>
          <w:b/>
          <w:sz w:val="30"/>
          <w:szCs w:val="30"/>
        </w:rPr>
        <w:t>）排序并创建列表</w:t>
      </w:r>
    </w:p>
    <w:p w14:paraId="7971DF26" w14:textId="77777777" w:rsidR="00C4309F"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将经过上述（一）、（二）步的参考实体按如下顺序排序，创建指数实体列表：</w:t>
      </w:r>
    </w:p>
    <w:p w14:paraId="208ABC6D" w14:textId="79B98343" w:rsidR="00C4309F" w:rsidRPr="004D502B" w:rsidRDefault="00265EB5" w:rsidP="00C4309F">
      <w:pPr>
        <w:snapToGrid w:val="0"/>
        <w:spacing w:line="560" w:lineRule="exact"/>
        <w:ind w:firstLineChars="220" w:firstLine="660"/>
        <w:rPr>
          <w:rFonts w:ascii="仿宋" w:eastAsia="仿宋" w:hAnsi="仿宋" w:cs="Times New Roman"/>
          <w:sz w:val="30"/>
          <w:szCs w:val="30"/>
        </w:rPr>
      </w:pPr>
      <w:r>
        <w:rPr>
          <w:rFonts w:ascii="仿宋" w:eastAsia="仿宋" w:hAnsi="仿宋" w:cs="Times New Roman" w:hint="eastAsia"/>
          <w:sz w:val="30"/>
          <w:szCs w:val="30"/>
        </w:rPr>
        <w:t>1、</w:t>
      </w:r>
      <w:r w:rsidR="00C4309F" w:rsidRPr="003E4622">
        <w:rPr>
          <w:rFonts w:ascii="仿宋" w:eastAsia="仿宋" w:hAnsi="仿宋" w:cs="Times New Roman"/>
          <w:sz w:val="30"/>
          <w:szCs w:val="30"/>
        </w:rPr>
        <w:t>《国民经济和社会发展第十四个五年规划和二〇三五年远景目标纲要》</w:t>
      </w:r>
      <w:r w:rsidR="00C4309F">
        <w:rPr>
          <w:rFonts w:ascii="仿宋" w:eastAsia="仿宋" w:hAnsi="仿宋" w:cs="Times New Roman" w:hint="eastAsia"/>
          <w:sz w:val="30"/>
          <w:szCs w:val="30"/>
        </w:rPr>
        <w:t>中</w:t>
      </w:r>
      <w:r w:rsidR="00C4309F" w:rsidRPr="003E4622">
        <w:rPr>
          <w:rFonts w:ascii="仿宋" w:eastAsia="仿宋" w:hAnsi="仿宋" w:cs="Times New Roman"/>
          <w:sz w:val="30"/>
          <w:szCs w:val="30"/>
        </w:rPr>
        <w:t>要求“加快发展现代产业体系</w:t>
      </w:r>
      <w:r w:rsidR="0057122E">
        <w:rPr>
          <w:rFonts w:ascii="Calibri" w:eastAsia="仿宋" w:hAnsi="Calibri" w:cs="Calibri" w:hint="eastAsia"/>
          <w:sz w:val="30"/>
          <w:szCs w:val="30"/>
        </w:rPr>
        <w:t xml:space="preserve"> </w:t>
      </w:r>
      <w:r w:rsidR="00C4309F" w:rsidRPr="003E4622">
        <w:rPr>
          <w:rFonts w:ascii="仿宋" w:eastAsia="仿宋" w:hAnsi="仿宋" w:cs="Times New Roman"/>
          <w:sz w:val="30"/>
          <w:szCs w:val="30"/>
        </w:rPr>
        <w:t>巩固壮大实体经济根基”</w:t>
      </w:r>
      <w:r w:rsidR="00C4309F">
        <w:rPr>
          <w:rFonts w:ascii="仿宋" w:eastAsia="仿宋" w:hAnsi="仿宋" w:cs="Times New Roman" w:hint="eastAsia"/>
          <w:sz w:val="30"/>
          <w:szCs w:val="30"/>
        </w:rPr>
        <w:t>。</w:t>
      </w:r>
      <w:r w:rsidR="00C4309F" w:rsidRPr="003E4622">
        <w:rPr>
          <w:rFonts w:ascii="仿宋" w:eastAsia="仿宋" w:hAnsi="仿宋" w:cs="Times New Roman"/>
          <w:sz w:val="30"/>
          <w:szCs w:val="30"/>
        </w:rPr>
        <w:t>据此，对新一代信息技术、生物技术、新能源、新材料、高端装备、新能源汽车、绿色环保以及航空航天、海洋装备等战略性新兴产业的相关主体优先排序</w:t>
      </w:r>
      <w:r w:rsidR="00C4309F">
        <w:rPr>
          <w:rFonts w:ascii="仿宋" w:eastAsia="仿宋" w:hAnsi="仿宋" w:cs="Times New Roman" w:hint="eastAsia"/>
          <w:sz w:val="30"/>
          <w:szCs w:val="30"/>
        </w:rPr>
        <w:t>，</w:t>
      </w:r>
      <w:r w:rsidR="00C4309F" w:rsidRPr="006F5FEE">
        <w:rPr>
          <w:rFonts w:ascii="仿宋" w:eastAsia="仿宋" w:hAnsi="仿宋" w:cs="Times New Roman"/>
          <w:sz w:val="30"/>
          <w:szCs w:val="30"/>
        </w:rPr>
        <w:t>其他参考实体根据最终评分从高到低排序；</w:t>
      </w:r>
      <w:r w:rsidR="00C4309F" w:rsidRPr="004D502B" w:rsidDel="006F5FEE">
        <w:rPr>
          <w:rFonts w:ascii="仿宋" w:eastAsia="仿宋" w:hAnsi="仿宋" w:cs="Times New Roman"/>
          <w:sz w:val="30"/>
          <w:szCs w:val="30"/>
        </w:rPr>
        <w:t xml:space="preserve"> </w:t>
      </w:r>
    </w:p>
    <w:p w14:paraId="056B72C0" w14:textId="7AC1F9DF" w:rsidR="00C4309F" w:rsidRPr="004D502B" w:rsidRDefault="00265EB5" w:rsidP="00C4309F">
      <w:pPr>
        <w:snapToGrid w:val="0"/>
        <w:spacing w:line="560" w:lineRule="exact"/>
        <w:ind w:firstLineChars="220" w:firstLine="660"/>
        <w:rPr>
          <w:rFonts w:ascii="仿宋" w:eastAsia="仿宋" w:hAnsi="仿宋" w:cs="Times New Roman"/>
          <w:sz w:val="30"/>
          <w:szCs w:val="30"/>
        </w:rPr>
      </w:pPr>
      <w:r>
        <w:rPr>
          <w:rFonts w:ascii="仿宋" w:eastAsia="仿宋" w:hAnsi="仿宋" w:cs="Times New Roman" w:hint="eastAsia"/>
          <w:sz w:val="30"/>
          <w:szCs w:val="30"/>
        </w:rPr>
        <w:t>2、</w:t>
      </w:r>
      <w:r w:rsidR="00C4309F" w:rsidRPr="004D502B">
        <w:rPr>
          <w:rFonts w:ascii="仿宋" w:eastAsia="仿宋" w:hAnsi="仿宋" w:cs="Times New Roman"/>
          <w:sz w:val="30"/>
          <w:szCs w:val="30"/>
        </w:rPr>
        <w:t>最终评分一致的，按照参考实体的中债资信级别由高到低排序，如果中债资信级别也一致，则按照参考实体首字母顺序排序；</w:t>
      </w:r>
    </w:p>
    <w:p w14:paraId="061DD85D" w14:textId="03FB90BF" w:rsidR="00C4309F" w:rsidRDefault="00265EB5" w:rsidP="00C4309F">
      <w:pPr>
        <w:snapToGrid w:val="0"/>
        <w:spacing w:line="56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3、</w:t>
      </w:r>
      <w:r w:rsidR="00C4309F" w:rsidRPr="00016BE2">
        <w:rPr>
          <w:rFonts w:ascii="仿宋" w:eastAsia="仿宋" w:hAnsi="仿宋" w:cs="Times New Roman" w:hint="eastAsia"/>
          <w:sz w:val="30"/>
          <w:szCs w:val="30"/>
        </w:rPr>
        <w:t>按照筛选标准及最终评分依次选取25个参考实体，优先选出战略性新兴产业的相关主体，其余参考实体按最终评分从高到低排序进入；相互间具有直接或间接控股关系，同一控股股东下的多个参考实体仅保留一个。如整体参考实体不足25家，则选取符合条件的全部参考实体</w:t>
      </w:r>
      <w:r w:rsidR="00C4309F" w:rsidRPr="006F5FEE">
        <w:rPr>
          <w:rFonts w:ascii="仿宋" w:eastAsia="仿宋" w:hAnsi="仿宋" w:cs="Times New Roman"/>
          <w:sz w:val="30"/>
          <w:szCs w:val="30"/>
        </w:rPr>
        <w:t>。</w:t>
      </w:r>
    </w:p>
    <w:p w14:paraId="42022C7F" w14:textId="77777777" w:rsidR="00C4309F" w:rsidRPr="004D502B" w:rsidRDefault="00C4309F" w:rsidP="00C4309F">
      <w:pPr>
        <w:snapToGrid w:val="0"/>
        <w:spacing w:line="560" w:lineRule="exact"/>
        <w:ind w:firstLineChars="200" w:firstLine="602"/>
        <w:rPr>
          <w:rFonts w:ascii="仿宋" w:eastAsia="仿宋" w:hAnsi="仿宋" w:cs="Times New Roman"/>
          <w:b/>
          <w:sz w:val="30"/>
          <w:szCs w:val="30"/>
        </w:rPr>
      </w:pPr>
      <w:r w:rsidRPr="004D502B">
        <w:rPr>
          <w:rFonts w:ascii="仿宋" w:eastAsia="仿宋" w:hAnsi="仿宋" w:cs="Times New Roman"/>
          <w:b/>
          <w:sz w:val="30"/>
          <w:szCs w:val="30"/>
        </w:rPr>
        <w:t>二、指数命名规则</w:t>
      </w:r>
    </w:p>
    <w:p w14:paraId="6871CD44"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“CFETS-SHCH-CBR科创CDS指数”的命名格式标准为：&lt;CFETS-SHCH-CBR科创CDS指数&gt;SnVn。指数名字中“S”</w:t>
      </w:r>
      <w:r>
        <w:rPr>
          <w:rFonts w:ascii="仿宋" w:eastAsia="仿宋" w:hAnsi="仿宋" w:cs="Times New Roman" w:hint="eastAsia"/>
          <w:sz w:val="30"/>
          <w:szCs w:val="30"/>
        </w:rPr>
        <w:t>和“</w:t>
      </w:r>
      <w:r w:rsidRPr="004D502B">
        <w:rPr>
          <w:rFonts w:ascii="仿宋" w:eastAsia="仿宋" w:hAnsi="仿宋" w:cs="Times New Roman"/>
          <w:sz w:val="30"/>
          <w:szCs w:val="30"/>
        </w:rPr>
        <w:t>V</w:t>
      </w:r>
      <w:r>
        <w:rPr>
          <w:rFonts w:ascii="仿宋" w:eastAsia="仿宋" w:hAnsi="仿宋" w:cs="Times New Roman" w:hint="eastAsia"/>
          <w:sz w:val="30"/>
          <w:szCs w:val="30"/>
        </w:rPr>
        <w:t>”</w:t>
      </w:r>
      <w:r w:rsidRPr="004D502B">
        <w:rPr>
          <w:rFonts w:ascii="仿宋" w:eastAsia="仿宋" w:hAnsi="仿宋" w:cs="Times New Roman"/>
          <w:sz w:val="30"/>
          <w:szCs w:val="30"/>
        </w:rPr>
        <w:lastRenderedPageBreak/>
        <w:t>后数字初始</w:t>
      </w:r>
      <w:r>
        <w:rPr>
          <w:rFonts w:ascii="仿宋" w:eastAsia="仿宋" w:hAnsi="仿宋" w:cs="Times New Roman" w:hint="eastAsia"/>
          <w:sz w:val="30"/>
          <w:szCs w:val="30"/>
        </w:rPr>
        <w:t>均</w:t>
      </w:r>
      <w:r w:rsidRPr="004D502B">
        <w:rPr>
          <w:rFonts w:ascii="仿宋" w:eastAsia="仿宋" w:hAnsi="仿宋" w:cs="Times New Roman"/>
          <w:sz w:val="30"/>
          <w:szCs w:val="30"/>
        </w:rPr>
        <w:t>为1</w:t>
      </w:r>
      <w:r>
        <w:rPr>
          <w:rFonts w:ascii="仿宋" w:eastAsia="仿宋" w:hAnsi="仿宋" w:cs="Times New Roman" w:hint="eastAsia"/>
          <w:sz w:val="30"/>
          <w:szCs w:val="30"/>
        </w:rPr>
        <w:t>。</w:t>
      </w:r>
      <w:r w:rsidRPr="004D502B">
        <w:rPr>
          <w:rFonts w:ascii="仿宋" w:eastAsia="仿宋" w:hAnsi="仿宋" w:cs="Times New Roman"/>
          <w:sz w:val="30"/>
          <w:szCs w:val="30"/>
        </w:rPr>
        <w:t>“S”后数字随着指数滚动日到来依次增加</w:t>
      </w:r>
      <w:r>
        <w:rPr>
          <w:rFonts w:ascii="仿宋" w:eastAsia="仿宋" w:hAnsi="仿宋" w:cs="Times New Roman" w:hint="eastAsia"/>
          <w:sz w:val="30"/>
          <w:szCs w:val="30"/>
        </w:rPr>
        <w:t>；</w:t>
      </w:r>
      <w:r w:rsidRPr="004D502B">
        <w:rPr>
          <w:rFonts w:ascii="仿宋" w:eastAsia="仿宋" w:hAnsi="仿宋" w:cs="Times New Roman"/>
          <w:sz w:val="30"/>
          <w:szCs w:val="30"/>
        </w:rPr>
        <w:t>每次滚动日调整后“V”后数字</w:t>
      </w:r>
      <w:r>
        <w:rPr>
          <w:rFonts w:ascii="仿宋" w:eastAsia="仿宋" w:hAnsi="仿宋" w:cs="Times New Roman" w:hint="eastAsia"/>
          <w:sz w:val="30"/>
          <w:szCs w:val="30"/>
        </w:rPr>
        <w:t>仍</w:t>
      </w:r>
      <w:r w:rsidRPr="004D502B">
        <w:rPr>
          <w:rFonts w:ascii="仿宋" w:eastAsia="仿宋" w:hAnsi="仿宋" w:cs="Times New Roman"/>
          <w:sz w:val="30"/>
          <w:szCs w:val="30"/>
        </w:rPr>
        <w:t>为1，当该滚动日至下一个滚动日之间有参考实体发生信用事件被除名时，指数名字中“V”后数字加1。</w:t>
      </w:r>
    </w:p>
    <w:p w14:paraId="70DC8E54"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三、指数滚动规则</w:t>
      </w:r>
    </w:p>
    <w:p w14:paraId="584D2A8B"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指数管理人在指数滚动日对指数实体列表进行调整，每年根据营业日准则调整的3月20日、9月20日为指数滚动日，滚动日指数调整规则如下：指数管理人在滚动日的前7个交易日根据指数创建规则的（一）（二）（三）步骤对符合筛选条件的所有实体进行评分，并将其中未在原指数实体列表中的参考实体记入“滚入名单候选”。</w:t>
      </w:r>
    </w:p>
    <w:p w14:paraId="2366046B"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将原指数实体列表中不符合筛选条件的N个实体记入“滚出名单”，若N小于3，则从原指数实体列表中依次选出主体评分排名靠后的3-N个参考实体同时记入“滚出名单”和“滚入名单候选”；若N大于等于3，则不再补充“滚出名单”。</w:t>
      </w:r>
    </w:p>
    <w:p w14:paraId="1BC44242"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B34EDF">
        <w:rPr>
          <w:rFonts w:ascii="仿宋" w:eastAsia="仿宋" w:hAnsi="仿宋" w:cs="Times New Roman"/>
          <w:sz w:val="30"/>
          <w:szCs w:val="30"/>
        </w:rPr>
        <w:t>在“滚入名单候选”中按照主体评分从高到低将参考实体依次纳入新指数实体列表中，直到新指数实体列表实体个数达到25或“滚入名单候选”中的参考实体均已纳入。</w:t>
      </w:r>
    </w:p>
    <w:p w14:paraId="532E9918"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指数管理人于滚动日的前7个交易日公示临时CDS指数实体列表，以公开征求意见，指数管理人将查看意见并决定是否有必要对CDS指数实体列表作出修正，指数管理人无义务遵循或逐一回复每个意见。滚动日前3个交易日停止征求意见。指数管理人将于滚动日前一个交易日下午5点之后公布滚动后的最终CDS指数实体列表。</w:t>
      </w:r>
    </w:p>
    <w:p w14:paraId="3DB4139F"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lastRenderedPageBreak/>
        <w:t>四、指数信用事件判定及除名规则</w:t>
      </w:r>
    </w:p>
    <w:p w14:paraId="406195CD"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指数管理人在判定参考实体发生信用事件当日对该实体进行除名处理，并公布除名后的新指数实体列表。</w:t>
      </w:r>
    </w:p>
    <w:p w14:paraId="7ABCA78B" w14:textId="08C68DE2"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CDS</w:t>
      </w:r>
      <w:r w:rsidR="00265EB5">
        <w:rPr>
          <w:rFonts w:ascii="仿宋" w:eastAsia="仿宋" w:hAnsi="仿宋" w:cs="Times New Roman"/>
          <w:sz w:val="30"/>
          <w:szCs w:val="30"/>
        </w:rPr>
        <w:t>指数信用事件判定包含以下</w:t>
      </w:r>
      <w:r w:rsidRPr="004D502B">
        <w:rPr>
          <w:rFonts w:ascii="仿宋" w:eastAsia="仿宋" w:hAnsi="仿宋" w:cs="Times New Roman"/>
          <w:sz w:val="30"/>
          <w:szCs w:val="30"/>
        </w:rPr>
        <w:t>情形：1）指数管理人根据某实体的信用事件公开信息判定CDS指数参考实体是否触发信用事件，并主动于公开信息发布当天对触发信用事件的实体除名；2）至少3家市场参与者（若该指数合约的买方不足三家的，以实际买方数量确定）申报从指数中将某实体除名（须说明申报除名原因），管理人在接收到足量申报的下一个工作日组织5家及以上的市场参与者投票决定是否将该实体除名，多于75%的参与者投票通过则判定CDS指数触发信用事件，该实体被除名。</w:t>
      </w:r>
    </w:p>
    <w:p w14:paraId="32748A0A" w14:textId="77777777" w:rsidR="00C4309F" w:rsidRPr="004D502B" w:rsidRDefault="00C4309F" w:rsidP="00C4309F">
      <w:pPr>
        <w:snapToGrid w:val="0"/>
        <w:spacing w:line="560" w:lineRule="exact"/>
        <w:ind w:firstLineChars="220" w:firstLine="663"/>
        <w:rPr>
          <w:rFonts w:ascii="仿宋" w:eastAsia="仿宋" w:hAnsi="仿宋" w:cs="Times New Roman"/>
          <w:b/>
          <w:sz w:val="30"/>
          <w:szCs w:val="30"/>
        </w:rPr>
      </w:pPr>
      <w:r w:rsidRPr="004D502B">
        <w:rPr>
          <w:rFonts w:ascii="仿宋" w:eastAsia="仿宋" w:hAnsi="仿宋" w:cs="Times New Roman"/>
          <w:b/>
          <w:sz w:val="30"/>
          <w:szCs w:val="30"/>
        </w:rPr>
        <w:t>五、指数信用曲线报价及发布</w:t>
      </w:r>
    </w:p>
    <w:p w14:paraId="3BE075ED"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rPr>
      </w:pPr>
      <w:r w:rsidRPr="004D502B">
        <w:rPr>
          <w:rFonts w:ascii="仿宋" w:eastAsia="仿宋" w:hAnsi="仿宋" w:cs="Times New Roman"/>
          <w:sz w:val="30"/>
          <w:szCs w:val="30"/>
        </w:rPr>
        <w:t>科创CDS指数信用曲线由市场机构对CDS指数的报价形成，交易中心与上海清算所共同编制并每日发布CDS指数信用曲线。</w:t>
      </w:r>
    </w:p>
    <w:p w14:paraId="2D18EC33" w14:textId="77777777" w:rsidR="00C4309F" w:rsidRPr="004D502B" w:rsidRDefault="00C4309F" w:rsidP="00C4309F">
      <w:pPr>
        <w:snapToGrid w:val="0"/>
        <w:spacing w:line="560" w:lineRule="exact"/>
        <w:ind w:firstLineChars="220" w:firstLine="660"/>
        <w:rPr>
          <w:rFonts w:ascii="仿宋" w:eastAsia="仿宋" w:hAnsi="仿宋" w:cs="Times New Roman"/>
          <w:sz w:val="30"/>
          <w:szCs w:val="30"/>
          <w:highlight w:val="yellow"/>
        </w:rPr>
      </w:pPr>
      <w:r w:rsidRPr="004D502B">
        <w:rPr>
          <w:rFonts w:ascii="仿宋" w:eastAsia="仿宋" w:hAnsi="仿宋" w:cs="Times New Roman"/>
          <w:sz w:val="30"/>
          <w:szCs w:val="30"/>
        </w:rPr>
        <w:t>报价机构于每个交易日16:00点前按照现行报价要求，在交易中心本币交易系统“信用违约互换-双向报价”模块进行报价，具体报价要素见下表。</w:t>
      </w:r>
    </w:p>
    <w:tbl>
      <w:tblPr>
        <w:tblpPr w:leftFromText="180" w:rightFromText="180" w:vertAnchor="text" w:horzAnchor="margin" w:tblpY="262"/>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2765"/>
        <w:gridCol w:w="1625"/>
        <w:gridCol w:w="119"/>
        <w:gridCol w:w="2979"/>
      </w:tblGrid>
      <w:tr w:rsidR="00C4309F" w:rsidRPr="004D502B" w14:paraId="5EB1FDF5" w14:textId="77777777" w:rsidTr="000A128D">
        <w:trPr>
          <w:trHeight w:val="50"/>
        </w:trPr>
        <w:tc>
          <w:tcPr>
            <w:tcW w:w="5000" w:type="pct"/>
            <w:gridSpan w:val="5"/>
            <w:vAlign w:val="center"/>
            <w:hideMark/>
          </w:tcPr>
          <w:p w14:paraId="302A37F8" w14:textId="77777777" w:rsidR="00C4309F" w:rsidRPr="004D502B" w:rsidRDefault="00C4309F" w:rsidP="000A128D">
            <w:pPr>
              <w:widowControl/>
              <w:snapToGrid w:val="0"/>
              <w:jc w:val="center"/>
              <w:rPr>
                <w:rFonts w:ascii="仿宋" w:eastAsia="仿宋" w:hAnsi="仿宋" w:cs="Times New Roman"/>
                <w:b/>
                <w:bCs/>
                <w:kern w:val="0"/>
                <w:sz w:val="24"/>
                <w:szCs w:val="24"/>
              </w:rPr>
            </w:pPr>
            <w:r w:rsidRPr="004D502B">
              <w:rPr>
                <w:rFonts w:ascii="仿宋" w:eastAsia="仿宋" w:hAnsi="仿宋" w:cs="Times New Roman"/>
                <w:b/>
                <w:bCs/>
                <w:kern w:val="0"/>
                <w:sz w:val="24"/>
                <w:szCs w:val="24"/>
              </w:rPr>
              <w:t>一般要素</w:t>
            </w:r>
          </w:p>
        </w:tc>
      </w:tr>
      <w:tr w:rsidR="00C4309F" w:rsidRPr="004D502B" w14:paraId="30745BA7" w14:textId="77777777" w:rsidTr="004F31AB">
        <w:trPr>
          <w:trHeight w:val="664"/>
        </w:trPr>
        <w:tc>
          <w:tcPr>
            <w:tcW w:w="724" w:type="pct"/>
            <w:vAlign w:val="center"/>
            <w:hideMark/>
          </w:tcPr>
          <w:p w14:paraId="6D688A2D" w14:textId="77777777" w:rsidR="00C4309F" w:rsidRPr="004D502B" w:rsidRDefault="00C4309F" w:rsidP="000A128D">
            <w:pPr>
              <w:widowControl/>
              <w:snapToGrid w:val="0"/>
              <w:jc w:val="center"/>
              <w:rPr>
                <w:rFonts w:ascii="仿宋" w:eastAsia="仿宋" w:hAnsi="仿宋" w:cs="Times New Roman"/>
                <w:b/>
                <w:bCs/>
                <w:color w:val="000000"/>
                <w:kern w:val="0"/>
                <w:sz w:val="24"/>
                <w:szCs w:val="24"/>
              </w:rPr>
            </w:pPr>
            <w:r w:rsidRPr="004D502B">
              <w:rPr>
                <w:rFonts w:ascii="仿宋" w:eastAsia="仿宋" w:hAnsi="仿宋" w:cs="Times New Roman"/>
                <w:b/>
                <w:bCs/>
                <w:color w:val="000000"/>
                <w:kern w:val="0"/>
                <w:sz w:val="24"/>
                <w:szCs w:val="24"/>
              </w:rPr>
              <w:t>币种</w:t>
            </w:r>
          </w:p>
        </w:tc>
        <w:tc>
          <w:tcPr>
            <w:tcW w:w="1579" w:type="pct"/>
            <w:vAlign w:val="center"/>
            <w:hideMark/>
          </w:tcPr>
          <w:p w14:paraId="5E89C8F2"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人民币</w:t>
            </w:r>
          </w:p>
        </w:tc>
        <w:tc>
          <w:tcPr>
            <w:tcW w:w="996" w:type="pct"/>
            <w:gridSpan w:val="2"/>
            <w:vAlign w:val="center"/>
          </w:tcPr>
          <w:p w14:paraId="66EEDBA1" w14:textId="77777777" w:rsidR="00C4309F" w:rsidRPr="004D502B" w:rsidRDefault="00C4309F" w:rsidP="000A128D">
            <w:pPr>
              <w:widowControl/>
              <w:snapToGrid w:val="0"/>
              <w:jc w:val="center"/>
              <w:rPr>
                <w:rFonts w:ascii="仿宋" w:eastAsia="仿宋" w:hAnsi="仿宋" w:cs="Times New Roman"/>
                <w:b/>
                <w:bCs/>
                <w:color w:val="000000"/>
                <w:kern w:val="0"/>
                <w:sz w:val="24"/>
                <w:szCs w:val="24"/>
              </w:rPr>
            </w:pPr>
            <w:r w:rsidRPr="004D502B">
              <w:rPr>
                <w:rFonts w:ascii="仿宋" w:eastAsia="仿宋" w:hAnsi="仿宋" w:cs="Times New Roman"/>
                <w:b/>
                <w:bCs/>
                <w:color w:val="000000"/>
                <w:kern w:val="0"/>
                <w:sz w:val="24"/>
                <w:szCs w:val="24"/>
              </w:rPr>
              <w:t>期限</w:t>
            </w:r>
          </w:p>
        </w:tc>
        <w:tc>
          <w:tcPr>
            <w:tcW w:w="1701" w:type="pct"/>
            <w:vAlign w:val="center"/>
          </w:tcPr>
          <w:p w14:paraId="746CA905"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必报：0.25年、0.5年、0.75年、1年、2年和3年</w:t>
            </w:r>
          </w:p>
          <w:p w14:paraId="079D167D"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选报：5年</w:t>
            </w:r>
          </w:p>
        </w:tc>
      </w:tr>
      <w:tr w:rsidR="00C4309F" w:rsidRPr="004D502B" w14:paraId="40CEA470" w14:textId="77777777" w:rsidTr="000A128D">
        <w:trPr>
          <w:trHeight w:val="50"/>
        </w:trPr>
        <w:tc>
          <w:tcPr>
            <w:tcW w:w="724" w:type="pct"/>
            <w:vAlign w:val="center"/>
          </w:tcPr>
          <w:p w14:paraId="7AECEFE1"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color w:val="000000"/>
                <w:kern w:val="0"/>
                <w:sz w:val="24"/>
                <w:szCs w:val="24"/>
              </w:rPr>
              <w:t>起始日</w:t>
            </w:r>
          </w:p>
        </w:tc>
        <w:tc>
          <w:tcPr>
            <w:tcW w:w="1579" w:type="pct"/>
            <w:vAlign w:val="center"/>
          </w:tcPr>
          <w:p w14:paraId="6EBB7F40" w14:textId="77777777" w:rsidR="00C4309F" w:rsidRPr="004F31AB" w:rsidRDefault="00C4309F" w:rsidP="000A128D">
            <w:pPr>
              <w:widowControl/>
              <w:snapToGrid w:val="0"/>
              <w:jc w:val="left"/>
              <w:rPr>
                <w:rFonts w:ascii="仿宋" w:eastAsia="仿宋" w:hAnsi="仿宋" w:cs="Times New Roman"/>
                <w:color w:val="000000"/>
                <w:spacing w:val="-10"/>
                <w:kern w:val="0"/>
                <w:sz w:val="24"/>
                <w:szCs w:val="24"/>
              </w:rPr>
            </w:pPr>
            <w:r w:rsidRPr="004F31AB">
              <w:rPr>
                <w:rFonts w:ascii="仿宋" w:eastAsia="仿宋" w:hAnsi="仿宋" w:cs="Times New Roman"/>
                <w:color w:val="000000"/>
                <w:spacing w:val="-10"/>
                <w:kern w:val="0"/>
                <w:sz w:val="24"/>
                <w:szCs w:val="24"/>
              </w:rPr>
              <w:t>当前日期的下一个自然日</w:t>
            </w:r>
          </w:p>
        </w:tc>
        <w:tc>
          <w:tcPr>
            <w:tcW w:w="996" w:type="pct"/>
            <w:gridSpan w:val="2"/>
            <w:vAlign w:val="center"/>
          </w:tcPr>
          <w:p w14:paraId="2A0DA579"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sz w:val="24"/>
                <w:szCs w:val="24"/>
              </w:rPr>
              <w:t>报价方式</w:t>
            </w:r>
          </w:p>
        </w:tc>
        <w:tc>
          <w:tcPr>
            <w:tcW w:w="1701" w:type="pct"/>
            <w:vAlign w:val="center"/>
          </w:tcPr>
          <w:p w14:paraId="6891EA19"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sz w:val="24"/>
                <w:szCs w:val="24"/>
              </w:rPr>
              <w:t>按利差报价</w:t>
            </w:r>
          </w:p>
        </w:tc>
      </w:tr>
      <w:tr w:rsidR="00C4309F" w:rsidRPr="004D502B" w14:paraId="3989E29C" w14:textId="77777777" w:rsidTr="000A128D">
        <w:trPr>
          <w:trHeight w:val="50"/>
        </w:trPr>
        <w:tc>
          <w:tcPr>
            <w:tcW w:w="724" w:type="pct"/>
            <w:vAlign w:val="center"/>
          </w:tcPr>
          <w:p w14:paraId="528730FB"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bCs/>
                <w:color w:val="000000"/>
                <w:kern w:val="0"/>
                <w:sz w:val="24"/>
                <w:szCs w:val="24"/>
              </w:rPr>
              <w:t>利差</w:t>
            </w:r>
          </w:p>
        </w:tc>
        <w:tc>
          <w:tcPr>
            <w:tcW w:w="1579" w:type="pct"/>
            <w:vAlign w:val="center"/>
          </w:tcPr>
          <w:p w14:paraId="276EF449"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约定，单位（bps）</w:t>
            </w:r>
          </w:p>
        </w:tc>
        <w:tc>
          <w:tcPr>
            <w:tcW w:w="996" w:type="pct"/>
            <w:gridSpan w:val="2"/>
            <w:vAlign w:val="center"/>
          </w:tcPr>
          <w:p w14:paraId="669E6BF5"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bCs/>
                <w:color w:val="000000"/>
                <w:kern w:val="0"/>
                <w:sz w:val="24"/>
                <w:szCs w:val="24"/>
              </w:rPr>
              <w:t>约定最终比例</w:t>
            </w:r>
          </w:p>
        </w:tc>
        <w:tc>
          <w:tcPr>
            <w:tcW w:w="1701" w:type="pct"/>
            <w:vAlign w:val="center"/>
          </w:tcPr>
          <w:p w14:paraId="66A0953B"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25%</w:t>
            </w:r>
          </w:p>
        </w:tc>
      </w:tr>
      <w:tr w:rsidR="00C4309F" w:rsidRPr="004D502B" w14:paraId="1F514B2D" w14:textId="77777777" w:rsidTr="004F31AB">
        <w:trPr>
          <w:trHeight w:val="50"/>
        </w:trPr>
        <w:tc>
          <w:tcPr>
            <w:tcW w:w="724" w:type="pct"/>
            <w:vAlign w:val="center"/>
          </w:tcPr>
          <w:p w14:paraId="79C73CE8" w14:textId="77777777" w:rsidR="00C4309F" w:rsidRPr="004D502B" w:rsidRDefault="00C4309F" w:rsidP="000A128D">
            <w:pPr>
              <w:widowControl/>
              <w:snapToGrid w:val="0"/>
              <w:jc w:val="center"/>
              <w:rPr>
                <w:rFonts w:ascii="仿宋" w:eastAsia="仿宋" w:hAnsi="仿宋" w:cs="Times New Roman"/>
                <w:b/>
                <w:bCs/>
                <w:color w:val="000000"/>
                <w:kern w:val="0"/>
                <w:sz w:val="24"/>
                <w:szCs w:val="24"/>
              </w:rPr>
            </w:pPr>
            <w:r w:rsidRPr="004D502B">
              <w:rPr>
                <w:rFonts w:ascii="仿宋" w:eastAsia="仿宋" w:hAnsi="仿宋" w:cs="Times New Roman"/>
                <w:b/>
                <w:color w:val="000000"/>
                <w:kern w:val="0"/>
                <w:sz w:val="24"/>
                <w:szCs w:val="24"/>
              </w:rPr>
              <w:t>计息基准</w:t>
            </w:r>
          </w:p>
        </w:tc>
        <w:tc>
          <w:tcPr>
            <w:tcW w:w="1579" w:type="pct"/>
            <w:vAlign w:val="center"/>
          </w:tcPr>
          <w:p w14:paraId="6B787FFF"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A/365</w:t>
            </w:r>
          </w:p>
        </w:tc>
        <w:tc>
          <w:tcPr>
            <w:tcW w:w="996" w:type="pct"/>
            <w:gridSpan w:val="2"/>
            <w:vAlign w:val="center"/>
          </w:tcPr>
          <w:p w14:paraId="08D35340"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color w:val="000000"/>
                <w:kern w:val="0"/>
                <w:sz w:val="24"/>
                <w:szCs w:val="24"/>
              </w:rPr>
              <w:t>滚动日</w:t>
            </w:r>
          </w:p>
        </w:tc>
        <w:tc>
          <w:tcPr>
            <w:tcW w:w="1701" w:type="pct"/>
            <w:vAlign w:val="center"/>
          </w:tcPr>
          <w:p w14:paraId="2E2D6A3C"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3月20日、9月20日，根据营业日准则调整</w:t>
            </w:r>
          </w:p>
        </w:tc>
      </w:tr>
      <w:tr w:rsidR="00C4309F" w:rsidRPr="004D502B" w14:paraId="68686FF4" w14:textId="77777777" w:rsidTr="000A128D">
        <w:trPr>
          <w:trHeight w:val="50"/>
        </w:trPr>
        <w:tc>
          <w:tcPr>
            <w:tcW w:w="5000" w:type="pct"/>
            <w:gridSpan w:val="5"/>
            <w:vAlign w:val="center"/>
          </w:tcPr>
          <w:p w14:paraId="0CBDCCDA" w14:textId="77777777" w:rsidR="00C4309F" w:rsidRPr="004D502B" w:rsidRDefault="00C4309F" w:rsidP="000A128D">
            <w:pPr>
              <w:widowControl/>
              <w:snapToGrid w:val="0"/>
              <w:jc w:val="center"/>
              <w:rPr>
                <w:rFonts w:ascii="仿宋" w:eastAsia="仿宋" w:hAnsi="仿宋" w:cs="Times New Roman"/>
                <w:b/>
                <w:color w:val="000000"/>
                <w:kern w:val="0"/>
                <w:sz w:val="24"/>
                <w:szCs w:val="24"/>
              </w:rPr>
            </w:pPr>
            <w:r w:rsidRPr="004D502B">
              <w:rPr>
                <w:rFonts w:ascii="仿宋" w:eastAsia="仿宋" w:hAnsi="仿宋" w:cs="Times New Roman"/>
                <w:b/>
                <w:color w:val="000000"/>
                <w:kern w:val="0"/>
                <w:sz w:val="24"/>
                <w:szCs w:val="24"/>
              </w:rPr>
              <w:t>与信用事件有关要素</w:t>
            </w:r>
          </w:p>
        </w:tc>
      </w:tr>
      <w:tr w:rsidR="00C4309F" w:rsidRPr="004D502B" w14:paraId="5BF4769E" w14:textId="77777777" w:rsidTr="000A128D">
        <w:trPr>
          <w:trHeight w:val="50"/>
        </w:trPr>
        <w:tc>
          <w:tcPr>
            <w:tcW w:w="724" w:type="pct"/>
            <w:vAlign w:val="center"/>
          </w:tcPr>
          <w:p w14:paraId="099BDCA7" w14:textId="77777777" w:rsidR="00C4309F" w:rsidRPr="004D502B" w:rsidRDefault="00C4309F" w:rsidP="000A128D">
            <w:pPr>
              <w:widowControl/>
              <w:snapToGrid w:val="0"/>
              <w:jc w:val="center"/>
              <w:rPr>
                <w:rFonts w:ascii="仿宋" w:eastAsia="仿宋" w:hAnsi="仿宋" w:cs="Times New Roman"/>
                <w:b/>
                <w:bCs/>
                <w:color w:val="000000"/>
                <w:kern w:val="0"/>
                <w:sz w:val="24"/>
                <w:szCs w:val="24"/>
              </w:rPr>
            </w:pPr>
            <w:r w:rsidRPr="004D502B">
              <w:rPr>
                <w:rFonts w:ascii="仿宋" w:eastAsia="仿宋" w:hAnsi="仿宋" w:cs="Times New Roman"/>
                <w:b/>
                <w:bCs/>
                <w:color w:val="000000"/>
                <w:kern w:val="0"/>
                <w:sz w:val="24"/>
                <w:szCs w:val="24"/>
              </w:rPr>
              <w:t>债务种类</w:t>
            </w:r>
          </w:p>
        </w:tc>
        <w:tc>
          <w:tcPr>
            <w:tcW w:w="1579" w:type="pct"/>
            <w:vAlign w:val="center"/>
          </w:tcPr>
          <w:p w14:paraId="3B6CB38E"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债务工具</w:t>
            </w:r>
          </w:p>
        </w:tc>
        <w:tc>
          <w:tcPr>
            <w:tcW w:w="928" w:type="pct"/>
            <w:vAlign w:val="center"/>
          </w:tcPr>
          <w:p w14:paraId="543133F7" w14:textId="77777777" w:rsidR="00C4309F" w:rsidRPr="004D502B" w:rsidRDefault="00C4309F" w:rsidP="000A128D">
            <w:pPr>
              <w:widowControl/>
              <w:snapToGrid w:val="0"/>
              <w:jc w:val="center"/>
              <w:rPr>
                <w:rFonts w:ascii="仿宋" w:eastAsia="仿宋" w:hAnsi="仿宋" w:cs="Times New Roman"/>
                <w:b/>
                <w:bCs/>
                <w:color w:val="000000"/>
                <w:kern w:val="0"/>
                <w:sz w:val="24"/>
                <w:szCs w:val="24"/>
              </w:rPr>
            </w:pPr>
            <w:r w:rsidRPr="004D502B">
              <w:rPr>
                <w:rFonts w:ascii="仿宋" w:eastAsia="仿宋" w:hAnsi="仿宋" w:cs="Times New Roman"/>
                <w:b/>
                <w:bCs/>
                <w:color w:val="000000"/>
                <w:kern w:val="0"/>
                <w:sz w:val="24"/>
                <w:szCs w:val="24"/>
              </w:rPr>
              <w:t>债务特征</w:t>
            </w:r>
          </w:p>
        </w:tc>
        <w:tc>
          <w:tcPr>
            <w:tcW w:w="1769" w:type="pct"/>
            <w:gridSpan w:val="2"/>
            <w:vAlign w:val="center"/>
          </w:tcPr>
          <w:p w14:paraId="7EA35B5A" w14:textId="77777777" w:rsidR="00C4309F" w:rsidRPr="004D502B" w:rsidRDefault="00C4309F" w:rsidP="000A128D">
            <w:pPr>
              <w:widowControl/>
              <w:snapToGrid w:val="0"/>
              <w:jc w:val="left"/>
              <w:rPr>
                <w:rFonts w:ascii="仿宋" w:eastAsia="仿宋" w:hAnsi="仿宋" w:cs="Times New Roman"/>
                <w:color w:val="000000"/>
                <w:kern w:val="0"/>
                <w:sz w:val="24"/>
                <w:szCs w:val="24"/>
              </w:rPr>
            </w:pPr>
            <w:r w:rsidRPr="004D502B">
              <w:rPr>
                <w:rFonts w:ascii="仿宋" w:eastAsia="仿宋" w:hAnsi="仿宋" w:cs="Times New Roman"/>
                <w:color w:val="000000"/>
                <w:kern w:val="0"/>
                <w:sz w:val="24"/>
                <w:szCs w:val="24"/>
              </w:rPr>
              <w:t>一般债务；本币；交易流通；</w:t>
            </w:r>
          </w:p>
        </w:tc>
      </w:tr>
      <w:tr w:rsidR="00C4309F" w:rsidRPr="004D502B" w14:paraId="0B6F1767" w14:textId="77777777" w:rsidTr="000A128D">
        <w:trPr>
          <w:trHeight w:val="316"/>
        </w:trPr>
        <w:tc>
          <w:tcPr>
            <w:tcW w:w="724" w:type="pct"/>
            <w:vAlign w:val="center"/>
          </w:tcPr>
          <w:p w14:paraId="4C776D08" w14:textId="77777777" w:rsidR="00C4309F" w:rsidRPr="004D502B" w:rsidRDefault="00C4309F" w:rsidP="000A128D">
            <w:pPr>
              <w:widowControl/>
              <w:snapToGrid w:val="0"/>
              <w:jc w:val="center"/>
              <w:rPr>
                <w:rFonts w:ascii="仿宋" w:eastAsia="仿宋" w:hAnsi="仿宋" w:cs="Times New Roman"/>
                <w:b/>
                <w:sz w:val="24"/>
                <w:szCs w:val="24"/>
              </w:rPr>
            </w:pPr>
            <w:r w:rsidRPr="004D502B">
              <w:rPr>
                <w:rFonts w:ascii="仿宋" w:eastAsia="仿宋" w:hAnsi="仿宋" w:cs="Times New Roman"/>
                <w:b/>
                <w:bCs/>
                <w:color w:val="000000"/>
                <w:kern w:val="0"/>
                <w:sz w:val="24"/>
                <w:szCs w:val="24"/>
              </w:rPr>
              <w:t>信用事件</w:t>
            </w:r>
          </w:p>
        </w:tc>
        <w:tc>
          <w:tcPr>
            <w:tcW w:w="4276" w:type="pct"/>
            <w:gridSpan w:val="4"/>
            <w:vAlign w:val="center"/>
          </w:tcPr>
          <w:p w14:paraId="1C9E9962" w14:textId="77777777" w:rsidR="00C4309F" w:rsidRPr="004D502B" w:rsidRDefault="00C4309F" w:rsidP="000A128D">
            <w:pPr>
              <w:widowControl/>
              <w:snapToGrid w:val="0"/>
              <w:jc w:val="left"/>
              <w:rPr>
                <w:rFonts w:ascii="仿宋" w:eastAsia="仿宋" w:hAnsi="仿宋" w:cs="Times New Roman"/>
                <w:sz w:val="24"/>
                <w:szCs w:val="24"/>
              </w:rPr>
            </w:pPr>
            <w:r w:rsidRPr="004D502B">
              <w:rPr>
                <w:rFonts w:ascii="仿宋" w:eastAsia="仿宋" w:hAnsi="仿宋" w:cs="Times New Roman"/>
                <w:color w:val="000000"/>
                <w:kern w:val="0"/>
                <w:sz w:val="24"/>
                <w:szCs w:val="24"/>
              </w:rPr>
              <w:t>破产、支付违约（起点金额100万元人民币或其等值金额；宽限期3个营业日；适用宽限期顺延）</w:t>
            </w:r>
          </w:p>
        </w:tc>
      </w:tr>
    </w:tbl>
    <w:p w14:paraId="4D090640" w14:textId="77777777" w:rsidR="001E5A01" w:rsidRDefault="001E5A01" w:rsidP="004F31AB">
      <w:pPr>
        <w:snapToGrid w:val="0"/>
        <w:spacing w:line="560" w:lineRule="exact"/>
        <w:rPr>
          <w:rFonts w:hint="eastAsia"/>
        </w:rPr>
      </w:pPr>
      <w:bookmarkStart w:id="0" w:name="_GoBack"/>
      <w:bookmarkEnd w:id="0"/>
    </w:p>
    <w:sectPr w:rsidR="001E5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B9E0" w14:textId="77777777" w:rsidR="00AB4420" w:rsidRDefault="00AB4420" w:rsidP="001C2AD9">
      <w:r>
        <w:separator/>
      </w:r>
    </w:p>
  </w:endnote>
  <w:endnote w:type="continuationSeparator" w:id="0">
    <w:p w14:paraId="08BB65C2" w14:textId="77777777" w:rsidR="00AB4420" w:rsidRDefault="00AB4420" w:rsidP="001C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CA67F" w14:textId="77777777" w:rsidR="00AB4420" w:rsidRDefault="00AB4420" w:rsidP="001C2AD9">
      <w:r>
        <w:separator/>
      </w:r>
    </w:p>
  </w:footnote>
  <w:footnote w:type="continuationSeparator" w:id="0">
    <w:p w14:paraId="7CF5724E" w14:textId="77777777" w:rsidR="00AB4420" w:rsidRDefault="00AB4420" w:rsidP="001C2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9F"/>
    <w:rsid w:val="00060D7C"/>
    <w:rsid w:val="00155DCE"/>
    <w:rsid w:val="001C2AD9"/>
    <w:rsid w:val="001E5A01"/>
    <w:rsid w:val="00265EB5"/>
    <w:rsid w:val="00400AD5"/>
    <w:rsid w:val="00441757"/>
    <w:rsid w:val="004F31AB"/>
    <w:rsid w:val="0057122E"/>
    <w:rsid w:val="00633942"/>
    <w:rsid w:val="00754DBA"/>
    <w:rsid w:val="009D370D"/>
    <w:rsid w:val="00AA1EC9"/>
    <w:rsid w:val="00AB4420"/>
    <w:rsid w:val="00B302D0"/>
    <w:rsid w:val="00B93B14"/>
    <w:rsid w:val="00C4309F"/>
    <w:rsid w:val="00D25654"/>
    <w:rsid w:val="00DD60C0"/>
    <w:rsid w:val="00EA7A42"/>
    <w:rsid w:val="00F14D4C"/>
    <w:rsid w:val="00F53EDE"/>
    <w:rsid w:val="00F82ABC"/>
    <w:rsid w:val="00F9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6AD89"/>
  <w15:docId w15:val="{26212A6B-68F9-4BA6-A8A1-C6A4779F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9F"/>
    <w:pPr>
      <w:widowControl w:val="0"/>
      <w:jc w:val="both"/>
    </w:pPr>
  </w:style>
  <w:style w:type="paragraph" w:styleId="1">
    <w:name w:val="heading 1"/>
    <w:basedOn w:val="a"/>
    <w:next w:val="a"/>
    <w:link w:val="10"/>
    <w:uiPriority w:val="9"/>
    <w:qFormat/>
    <w:rsid w:val="00C430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430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430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430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4309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430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430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0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430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0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430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430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4309F"/>
    <w:rPr>
      <w:rFonts w:cstheme="majorBidi"/>
      <w:color w:val="0F4761" w:themeColor="accent1" w:themeShade="BF"/>
      <w:sz w:val="28"/>
      <w:szCs w:val="28"/>
    </w:rPr>
  </w:style>
  <w:style w:type="character" w:customStyle="1" w:styleId="50">
    <w:name w:val="标题 5 字符"/>
    <w:basedOn w:val="a0"/>
    <w:link w:val="5"/>
    <w:uiPriority w:val="9"/>
    <w:semiHidden/>
    <w:rsid w:val="00C4309F"/>
    <w:rPr>
      <w:rFonts w:cstheme="majorBidi"/>
      <w:color w:val="0F4761" w:themeColor="accent1" w:themeShade="BF"/>
      <w:sz w:val="24"/>
      <w:szCs w:val="24"/>
    </w:rPr>
  </w:style>
  <w:style w:type="character" w:customStyle="1" w:styleId="60">
    <w:name w:val="标题 6 字符"/>
    <w:basedOn w:val="a0"/>
    <w:link w:val="6"/>
    <w:uiPriority w:val="9"/>
    <w:semiHidden/>
    <w:rsid w:val="00C4309F"/>
    <w:rPr>
      <w:rFonts w:cstheme="majorBidi"/>
      <w:b/>
      <w:bCs/>
      <w:color w:val="0F4761" w:themeColor="accent1" w:themeShade="BF"/>
    </w:rPr>
  </w:style>
  <w:style w:type="character" w:customStyle="1" w:styleId="70">
    <w:name w:val="标题 7 字符"/>
    <w:basedOn w:val="a0"/>
    <w:link w:val="7"/>
    <w:uiPriority w:val="9"/>
    <w:semiHidden/>
    <w:rsid w:val="00C4309F"/>
    <w:rPr>
      <w:rFonts w:cstheme="majorBidi"/>
      <w:b/>
      <w:bCs/>
      <w:color w:val="595959" w:themeColor="text1" w:themeTint="A6"/>
    </w:rPr>
  </w:style>
  <w:style w:type="character" w:customStyle="1" w:styleId="80">
    <w:name w:val="标题 8 字符"/>
    <w:basedOn w:val="a0"/>
    <w:link w:val="8"/>
    <w:uiPriority w:val="9"/>
    <w:semiHidden/>
    <w:rsid w:val="00C4309F"/>
    <w:rPr>
      <w:rFonts w:cstheme="majorBidi"/>
      <w:color w:val="595959" w:themeColor="text1" w:themeTint="A6"/>
    </w:rPr>
  </w:style>
  <w:style w:type="character" w:customStyle="1" w:styleId="90">
    <w:name w:val="标题 9 字符"/>
    <w:basedOn w:val="a0"/>
    <w:link w:val="9"/>
    <w:uiPriority w:val="9"/>
    <w:semiHidden/>
    <w:rsid w:val="00C4309F"/>
    <w:rPr>
      <w:rFonts w:eastAsiaTheme="majorEastAsia" w:cstheme="majorBidi"/>
      <w:color w:val="595959" w:themeColor="text1" w:themeTint="A6"/>
    </w:rPr>
  </w:style>
  <w:style w:type="paragraph" w:styleId="a3">
    <w:name w:val="Title"/>
    <w:basedOn w:val="a"/>
    <w:next w:val="a"/>
    <w:link w:val="a4"/>
    <w:uiPriority w:val="10"/>
    <w:qFormat/>
    <w:rsid w:val="00C430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0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0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09F"/>
    <w:pPr>
      <w:spacing w:before="160" w:after="160"/>
      <w:jc w:val="center"/>
    </w:pPr>
    <w:rPr>
      <w:i/>
      <w:iCs/>
      <w:color w:val="404040" w:themeColor="text1" w:themeTint="BF"/>
    </w:rPr>
  </w:style>
  <w:style w:type="character" w:customStyle="1" w:styleId="a8">
    <w:name w:val="引用 字符"/>
    <w:basedOn w:val="a0"/>
    <w:link w:val="a7"/>
    <w:uiPriority w:val="29"/>
    <w:rsid w:val="00C4309F"/>
    <w:rPr>
      <w:i/>
      <w:iCs/>
      <w:color w:val="404040" w:themeColor="text1" w:themeTint="BF"/>
    </w:rPr>
  </w:style>
  <w:style w:type="paragraph" w:styleId="a9">
    <w:name w:val="List Paragraph"/>
    <w:basedOn w:val="a"/>
    <w:uiPriority w:val="34"/>
    <w:qFormat/>
    <w:rsid w:val="00C4309F"/>
    <w:pPr>
      <w:ind w:left="720"/>
      <w:contextualSpacing/>
    </w:pPr>
  </w:style>
  <w:style w:type="character" w:styleId="aa">
    <w:name w:val="Intense Emphasis"/>
    <w:basedOn w:val="a0"/>
    <w:uiPriority w:val="21"/>
    <w:qFormat/>
    <w:rsid w:val="00C4309F"/>
    <w:rPr>
      <w:i/>
      <w:iCs/>
      <w:color w:val="0F4761" w:themeColor="accent1" w:themeShade="BF"/>
    </w:rPr>
  </w:style>
  <w:style w:type="paragraph" w:styleId="ab">
    <w:name w:val="Intense Quote"/>
    <w:basedOn w:val="a"/>
    <w:next w:val="a"/>
    <w:link w:val="ac"/>
    <w:uiPriority w:val="30"/>
    <w:qFormat/>
    <w:rsid w:val="00C430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4309F"/>
    <w:rPr>
      <w:i/>
      <w:iCs/>
      <w:color w:val="0F4761" w:themeColor="accent1" w:themeShade="BF"/>
    </w:rPr>
  </w:style>
  <w:style w:type="character" w:styleId="ad">
    <w:name w:val="Intense Reference"/>
    <w:basedOn w:val="a0"/>
    <w:uiPriority w:val="32"/>
    <w:qFormat/>
    <w:rsid w:val="00C4309F"/>
    <w:rPr>
      <w:b/>
      <w:bCs/>
      <w:smallCaps/>
      <w:color w:val="0F4761" w:themeColor="accent1" w:themeShade="BF"/>
      <w:spacing w:val="5"/>
    </w:rPr>
  </w:style>
  <w:style w:type="table" w:styleId="ae">
    <w:name w:val="Table Grid"/>
    <w:basedOn w:val="a1"/>
    <w:uiPriority w:val="39"/>
    <w:rsid w:val="00C4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C4309F"/>
    <w:pPr>
      <w:widowControl/>
      <w:spacing w:before="100" w:beforeAutospacing="1" w:after="100" w:afterAutospacing="1"/>
      <w:jc w:val="left"/>
    </w:pPr>
    <w:rPr>
      <w:rFonts w:ascii="宋体" w:eastAsia="宋体" w:hAnsi="宋体" w:cs="宋体"/>
      <w:kern w:val="0"/>
      <w:sz w:val="24"/>
      <w:szCs w:val="24"/>
    </w:rPr>
  </w:style>
  <w:style w:type="paragraph" w:styleId="af0">
    <w:name w:val="header"/>
    <w:basedOn w:val="a"/>
    <w:link w:val="af1"/>
    <w:uiPriority w:val="99"/>
    <w:unhideWhenUsed/>
    <w:rsid w:val="001C2AD9"/>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C2AD9"/>
    <w:rPr>
      <w:sz w:val="18"/>
      <w:szCs w:val="18"/>
    </w:rPr>
  </w:style>
  <w:style w:type="paragraph" w:styleId="af2">
    <w:name w:val="footer"/>
    <w:basedOn w:val="a"/>
    <w:link w:val="af3"/>
    <w:uiPriority w:val="99"/>
    <w:unhideWhenUsed/>
    <w:rsid w:val="001C2AD9"/>
    <w:pPr>
      <w:tabs>
        <w:tab w:val="center" w:pos="4153"/>
        <w:tab w:val="right" w:pos="8306"/>
      </w:tabs>
      <w:snapToGrid w:val="0"/>
      <w:jc w:val="left"/>
    </w:pPr>
    <w:rPr>
      <w:sz w:val="18"/>
      <w:szCs w:val="18"/>
    </w:rPr>
  </w:style>
  <w:style w:type="character" w:customStyle="1" w:styleId="af3">
    <w:name w:val="页脚 字符"/>
    <w:basedOn w:val="a0"/>
    <w:link w:val="af2"/>
    <w:uiPriority w:val="99"/>
    <w:rsid w:val="001C2A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DBA2-F64C-4675-8FAF-A634BCC7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y</dc:creator>
  <cp:keywords/>
  <dc:description/>
  <cp:lastModifiedBy>孟婧婧</cp:lastModifiedBy>
  <cp:revision>14</cp:revision>
  <dcterms:created xsi:type="dcterms:W3CDTF">2025-11-17T02:36:00Z</dcterms:created>
  <dcterms:modified xsi:type="dcterms:W3CDTF">2025-12-05T01:39:00Z</dcterms:modified>
</cp:coreProperties>
</file>